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center"/>
        <w:rPr>
          <w:rFonts w:hint="default" w:ascii="Times New Roman" w:hAnsi="Times New Roman" w:eastAsia="CESI黑体-GB2312" w:cs="Times New Roman"/>
          <w:sz w:val="32"/>
          <w:szCs w:val="20"/>
          <w:lang w:val="en-US" w:eastAsia="zh-CN"/>
        </w:rPr>
      </w:pPr>
    </w:p>
    <w:p>
      <w:pPr>
        <w:pStyle w:val="5"/>
        <w:rPr>
          <w:rFonts w:hint="default" w:ascii="Times New Roman" w:hAnsi="Times New Roman" w:eastAsia="CESI黑体-GB2312" w:cs="Times New Roman"/>
          <w:sz w:val="32"/>
          <w:szCs w:val="20"/>
          <w:lang w:val="en-US" w:eastAsia="zh-CN"/>
        </w:rPr>
      </w:pP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default" w:ascii="Times New Roman" w:hAnsi="Times New Roman" w:eastAsia="黑体" w:cs="Times New Roman"/>
          <w:w w:val="100"/>
          <w:sz w:val="52"/>
          <w:szCs w:val="52"/>
          <w:lang w:val="en-US" w:eastAsia="zh-CN"/>
        </w:rPr>
      </w:pPr>
      <w:r>
        <w:rPr>
          <w:rFonts w:hint="default" w:ascii="Times New Roman" w:hAnsi="Times New Roman" w:eastAsia="黑体" w:cs="Times New Roman"/>
          <w:w w:val="100"/>
          <w:sz w:val="52"/>
          <w:szCs w:val="52"/>
        </w:rPr>
        <w:t>山西省</w:t>
      </w:r>
      <w:r>
        <w:rPr>
          <w:rFonts w:hint="default" w:ascii="Times New Roman" w:hAnsi="Times New Roman" w:eastAsia="黑体" w:cs="Times New Roman"/>
          <w:w w:val="100"/>
          <w:sz w:val="52"/>
          <w:szCs w:val="52"/>
          <w:lang w:val="en-US" w:eastAsia="zh-CN"/>
        </w:rPr>
        <w:t>职业教育铸魂育人计划</w:t>
      </w: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default" w:ascii="Times New Roman" w:hAnsi="Times New Roman" w:eastAsia="黑体" w:cs="Times New Roman"/>
          <w:w w:val="100"/>
          <w:sz w:val="52"/>
          <w:szCs w:val="52"/>
          <w:lang w:val="en-US" w:eastAsia="zh-CN"/>
        </w:rPr>
      </w:pPr>
    </w:p>
    <w:p>
      <w:pPr>
        <w:spacing w:line="1140" w:lineRule="auto"/>
        <w:jc w:val="center"/>
        <w:rPr>
          <w:rFonts w:hint="default" w:ascii="Times New Roman" w:hAnsi="Times New Roman" w:eastAsia="方正小标宋简体" w:cs="Times New Roman"/>
          <w:w w:val="85"/>
          <w:sz w:val="52"/>
          <w:szCs w:val="52"/>
          <w:lang w:val="en-US" w:eastAsia="zh-CN"/>
        </w:rPr>
      </w:pPr>
    </w:p>
    <w:p>
      <w:pPr>
        <w:spacing w:line="1140" w:lineRule="auto"/>
        <w:jc w:val="center"/>
        <w:rPr>
          <w:rFonts w:hint="default" w:ascii="Times New Roman" w:hAnsi="Times New Roman" w:eastAsia="方正小标宋简体" w:cs="Times New Roman"/>
          <w:w w:val="85"/>
          <w:sz w:val="72"/>
          <w:szCs w:val="72"/>
          <w:lang w:val="en-US" w:eastAsia="zh-CN"/>
        </w:rPr>
      </w:pPr>
      <w:r>
        <w:rPr>
          <w:rFonts w:hint="eastAsia" w:ascii="Times New Roman" w:hAnsi="Times New Roman" w:eastAsia="方正小标宋简体" w:cs="Times New Roman"/>
          <w:w w:val="85"/>
          <w:sz w:val="72"/>
          <w:szCs w:val="72"/>
          <w:lang w:val="en-US" w:eastAsia="zh-CN"/>
        </w:rPr>
        <w:t>思政微课建设方案</w:t>
      </w:r>
    </w:p>
    <w:p>
      <w:pPr>
        <w:rPr>
          <w:rFonts w:hint="default" w:ascii="Times New Roman" w:hAnsi="Times New Roman" w:eastAsia="方正仿宋_GBK" w:cs="Times New Roman"/>
          <w:spacing w:val="16"/>
          <w:sz w:val="30"/>
        </w:rPr>
      </w:pPr>
    </w:p>
    <w:p>
      <w:pPr>
        <w:rPr>
          <w:rFonts w:hint="default" w:ascii="Times New Roman" w:hAnsi="Times New Roman" w:eastAsia="方正仿宋_GBK" w:cs="Times New Roman"/>
          <w:spacing w:val="16"/>
          <w:sz w:val="30"/>
        </w:rPr>
      </w:pPr>
    </w:p>
    <w:p>
      <w:pPr>
        <w:ind w:firstLine="684" w:firstLineChars="200"/>
        <w:rPr>
          <w:rFonts w:hint="default" w:ascii="Times New Roman" w:hAnsi="Times New Roman" w:eastAsia="方正仿宋_GBK" w:cs="Times New Roman"/>
          <w:spacing w:val="16"/>
          <w:sz w:val="30"/>
        </w:rPr>
      </w:pPr>
    </w:p>
    <w:p>
      <w:pPr>
        <w:pStyle w:val="4"/>
        <w:rPr>
          <w:rFonts w:hint="default" w:ascii="Times New Roman" w:hAnsi="Times New Roman" w:eastAsia="方正仿宋_GBK" w:cs="Times New Roman"/>
          <w:spacing w:val="16"/>
          <w:sz w:val="30"/>
        </w:rPr>
      </w:pPr>
    </w:p>
    <w:p>
      <w:pPr>
        <w:rPr>
          <w:rFonts w:hint="default" w:ascii="Times New Roman" w:hAnsi="Times New Roman" w:eastAsia="方正仿宋_GBK" w:cs="Times New Roman"/>
          <w:spacing w:val="16"/>
          <w:sz w:val="30"/>
        </w:rPr>
      </w:pPr>
    </w:p>
    <w:p>
      <w:pPr>
        <w:pStyle w:val="4"/>
        <w:rPr>
          <w:rFonts w:hint="default" w:ascii="Times New Roman" w:hAnsi="Times New Roman" w:eastAsia="方正仿宋_GBK" w:cs="Times New Roman"/>
          <w:spacing w:val="16"/>
          <w:sz w:val="30"/>
        </w:rPr>
      </w:pPr>
    </w:p>
    <w:p>
      <w:pPr>
        <w:rPr>
          <w:rFonts w:hint="default" w:ascii="Times New Roman" w:hAnsi="Times New Roman" w:eastAsia="方正仿宋_GBK" w:cs="Times New Roman"/>
          <w:spacing w:val="16"/>
          <w:sz w:val="30"/>
        </w:rPr>
      </w:pPr>
    </w:p>
    <w:p>
      <w:pPr>
        <w:pStyle w:val="4"/>
        <w:rPr>
          <w:rFonts w:hint="default" w:ascii="Times New Roman" w:hAnsi="Times New Roman" w:eastAsia="方正仿宋_GBK" w:cs="Times New Roman"/>
          <w:spacing w:val="16"/>
          <w:sz w:val="30"/>
        </w:rPr>
      </w:pP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方正仿宋_GBK" w:cs="Times New Roman"/>
          <w:sz w:val="32"/>
        </w:rPr>
      </w:pPr>
      <w:r>
        <w:rPr>
          <w:rFonts w:hint="default" w:ascii="Times New Roman" w:hAnsi="Times New Roman" w:eastAsia="方正仿宋_GBK" w:cs="Times New Roman"/>
          <w:sz w:val="32"/>
        </w:rPr>
        <w:t>吕梁职业技术学院</w:t>
      </w:r>
    </w:p>
    <w:p>
      <w:pPr>
        <w:ind w:firstLine="3960" w:firstLineChars="1200"/>
        <w:rPr>
          <w:rFonts w:hint="default" w:ascii="Times New Roman" w:hAnsi="Times New Roman" w:eastAsia="方正仿宋_GBK" w:cs="Times New Roman"/>
          <w:sz w:val="32"/>
          <w:lang w:val="en-US" w:eastAsia="zh-CN"/>
        </w:rPr>
        <w:sectPr>
          <w:pgSz w:w="11906" w:h="16838"/>
          <w:pgMar w:top="1701" w:right="1417" w:bottom="1644" w:left="1644" w:header="851" w:footer="992" w:gutter="0"/>
          <w:pgNumType w:fmt="numberInDash" w:start="1"/>
          <w:cols w:space="720" w:num="1"/>
          <w:titlePg/>
          <w:docGrid w:type="linesAndChars" w:linePitch="312" w:charSpace="2048"/>
        </w:sectPr>
      </w:pPr>
    </w:p>
    <w:p>
      <w:pPr>
        <w:keepNext w:val="0"/>
        <w:keepLines w:val="0"/>
        <w:pageBreakBefore w:val="0"/>
        <w:widowControl w:val="0"/>
        <w:kinsoku/>
        <w:wordWrap/>
        <w:overflowPunct/>
        <w:topLinePunct w:val="0"/>
        <w:autoSpaceDE/>
        <w:autoSpaceDN/>
        <w:bidi w:val="0"/>
        <w:adjustRightInd/>
        <w:snapToGrid/>
        <w:spacing w:after="312" w:afterLines="100" w:line="360" w:lineRule="auto"/>
        <w:jc w:val="center"/>
        <w:textAlignment w:val="auto"/>
        <w:outlineLvl w:val="9"/>
        <w:rPr>
          <w:rFonts w:hint="eastAsia" w:ascii="黑体" w:hAnsi="黑体" w:eastAsia="黑体" w:cs="黑体"/>
          <w:b/>
          <w:bCs/>
          <w:color w:val="auto"/>
          <w:sz w:val="36"/>
          <w:szCs w:val="36"/>
        </w:rPr>
      </w:pPr>
      <w:bookmarkStart w:id="0" w:name="_Toc10428"/>
      <w:bookmarkStart w:id="7" w:name="_GoBack"/>
      <w:r>
        <w:rPr>
          <w:rFonts w:hint="eastAsia" w:ascii="黑体" w:hAnsi="黑体" w:eastAsia="黑体" w:cs="黑体"/>
          <w:b/>
          <w:bCs/>
          <w:color w:val="auto"/>
          <w:sz w:val="36"/>
          <w:szCs w:val="36"/>
          <w:lang w:val="en-US" w:eastAsia="zh-CN"/>
        </w:rPr>
        <w:t>思政教育工作室建设</w:t>
      </w:r>
      <w:r>
        <w:rPr>
          <w:rFonts w:hint="eastAsia" w:ascii="黑体" w:hAnsi="黑体" w:eastAsia="黑体" w:cs="黑体"/>
          <w:b/>
          <w:bCs/>
          <w:color w:val="auto"/>
          <w:sz w:val="36"/>
          <w:szCs w:val="36"/>
        </w:rPr>
        <w:t>方案</w:t>
      </w:r>
      <w:bookmarkEnd w:id="0"/>
    </w:p>
    <w:p>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为全面贯彻党的二十大精神和习近平新时代中国特色社会主义思想，解决好培养什么人、怎样培养人、为谁培养人这个根本问题，坚持不懈用习近平新时代中国特色社会主义思想铸魂育人，校委会研究决定创建省级思政教育工作室，。特制定本方案。</w:t>
      </w:r>
    </w:p>
    <w:p>
      <w:pPr>
        <w:pStyle w:val="4"/>
        <w:keepNext w:val="0"/>
        <w:keepLines w:val="0"/>
        <w:pageBreakBefore w:val="0"/>
        <w:widowControl w:val="0"/>
        <w:kinsoku/>
        <w:wordWrap/>
        <w:overflowPunct/>
        <w:topLinePunct w:val="0"/>
        <w:autoSpaceDE/>
        <w:autoSpaceDN/>
        <w:bidi w:val="0"/>
        <w:spacing w:line="360" w:lineRule="auto"/>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一、指导思想</w:t>
      </w:r>
    </w:p>
    <w:p>
      <w:pPr>
        <w:pStyle w:val="4"/>
        <w:keepNext w:val="0"/>
        <w:keepLines w:val="0"/>
        <w:pageBreakBefore w:val="0"/>
        <w:widowControl w:val="0"/>
        <w:kinsoku/>
        <w:wordWrap/>
        <w:overflowPunct/>
        <w:topLinePunct w:val="0"/>
        <w:autoSpaceDE/>
        <w:autoSpaceDN/>
        <w:bidi w:val="0"/>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以习近平新时代中国特色社会主义思想为指导，深入贯彻落实习近平总书记在学校思想政治理论课教师座谈会上的重要讲话精神，以及《国家职业教育改革实施方案》《新时代学校思想政治理论课改革创新实施方案》《新时代爱国主义教育实施纲要》《关于加强和改进新时代中等职业学校德育工作的意见》《关于加强新时代中小学思想政治理论课教师队伍建设的意见》《职业教育提质培优行动计划（2020—2023年）》《山西省推进职业教育改革发展行动计划》山西省教育厅山西省人力资源和社会保障厅山西省财政厅《关于实施职业教育铸魂育人计划的通知》(晋教职成[2021] 13号)等国家、省级重要文件精神，全面贯彻党的教育方针，落实立德树人根本任务，着力推进地区、学校铸魂育人一体化建设，提升学校思政教育的思想性、科学性、时代性、指导性和引领性，努力培养德智体美劳全面发展的社会主义建设者和接班人。</w:t>
      </w:r>
    </w:p>
    <w:p>
      <w:pPr>
        <w:keepNext w:val="0"/>
        <w:keepLines w:val="0"/>
        <w:pageBreakBefore w:val="0"/>
        <w:widowControl w:val="0"/>
        <w:numPr>
          <w:ilvl w:val="0"/>
          <w:numId w:val="1"/>
        </w:numPr>
        <w:kinsoku/>
        <w:wordWrap/>
        <w:overflowPunct/>
        <w:topLinePunct w:val="0"/>
        <w:autoSpaceDE/>
        <w:autoSpaceDN/>
        <w:bidi w:val="0"/>
        <w:spacing w:line="360" w:lineRule="auto"/>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建设目标</w:t>
      </w:r>
    </w:p>
    <w:p>
      <w:pPr>
        <w:pStyle w:val="4"/>
        <w:keepNext w:val="0"/>
        <w:keepLines w:val="0"/>
        <w:pageBreakBefore w:val="0"/>
        <w:widowControl w:val="0"/>
        <w:numPr>
          <w:ilvl w:val="0"/>
          <w:numId w:val="0"/>
        </w:numPr>
        <w:kinsoku/>
        <w:wordWrap/>
        <w:overflowPunct/>
        <w:topLinePunct w:val="0"/>
        <w:autoSpaceDE/>
        <w:autoSpaceDN/>
        <w:bidi w:val="0"/>
        <w:spacing w:line="360" w:lineRule="auto"/>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在我校党委的领导下，建成省级“吕梁精神”思政教育工作室。重点研究重点研究红色革命精神、地域文化、思想政治理论课教学内容与方法的改革与创新、大中小学思政一体化建设的教学模式以及思政微课的建设标准。引导并协助专业课教师自觉将思政教育融入各类课程教学，强化思想理论教育和价值引领，发挥哲学社会科学育人功能，充分发掘和运用各学科蕴含的思想政治教育资源，建设一批充满思政元素、发挥思政功能的通识教育课程和专业课程。通过课程思政润物细无声的教育，引导学生树立正确的的人生观、价值观、世界观，树立正确职业道德观念，促进思想政治教育与知识体系教育的有机统一，构建协同育人机制，提升学校人才培养能力。</w:t>
      </w:r>
    </w:p>
    <w:p>
      <w:pPr>
        <w:pStyle w:val="9"/>
        <w:keepNext w:val="0"/>
        <w:keepLines w:val="0"/>
        <w:pageBreakBefore w:val="0"/>
        <w:widowControl w:val="0"/>
        <w:kinsoku/>
        <w:wordWrap/>
        <w:overflowPunct/>
        <w:topLinePunct w:val="0"/>
        <w:autoSpaceDE/>
        <w:autoSpaceDN/>
        <w:bidi w:val="0"/>
        <w:spacing w:after="0" w:line="360" w:lineRule="auto"/>
        <w:ind w:left="0" w:leftChars="0" w:right="0" w:rightChars="0" w:firstLine="643" w:firstLineChars="200"/>
        <w:jc w:val="both"/>
        <w:textAlignment w:val="auto"/>
        <w:outlineLvl w:val="9"/>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三、建设内容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（一）统筹推进“思政课程”与“课程思政”建设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统筹推进思政课程与课程思政同向同行，形成协同效应。思政教师、专业教师、公共课教师开展思政共教研活动和大教研活动，深度落实显性教育与隐性教育相融合，保证价值引领的统一性，实现评价的一致性。在确定参加思政共教研活动人员及思政共教研活动开展的频次，的基础上，思政课教师和专业课教师就专业课授课内容、目标共同收集、整理、开发适合各专业的思政素材，共同探讨思政元素与专业课程的有效融合。协助专业课教师开展课程思政教育教学改革试点工作，坚持课程教学中价值引领与知识传授并重，实现思想政治教育融入学校专业课程教学，强化思想政治教育的实效性，引导学生树立正确的世界观、人生观和价值观。</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深入课程思政工作，坚持五分钟德育渗透，强化教师立德树人意识，要求每位专业课教师认真梳理课程中蕴含的思想政治教育元素，充分发挥专业课程承载的思想政治教育功能，实现思想政治教育与技术技能培养的有机统一，把课程思政作为衡量专业课课堂教学质量的重要指标之一。</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统筹各门思想政治理论课的日常教学以及思政课程教育教学的改革。以课堂教学为抓手，课堂教学融入习近平总书记历次重要讲话精神内容，畅通学院思想政治理论课主渠道。围绕吕梁精神和吕梁地域文化育人品牌，成体系的开发一定规模的微课群，构建思政课程与课程思政大格局，建好用好网络德育阵地。</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（二）协同开展思政实践基地建设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向邓小平路居地、红军东征兑九峪战役展区、中共孝义建党第一址、孝义皮影木偶艺术博物馆、孝义鹏飞集团、孝义氢能专业镇、金晖兆隆科技公司授“红色教育与国情教育基地”牌匾，思政教育工作室将进一步推动思想政治教育实践基地的建设，发挥实践育人功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（三）深入开展思政理论研究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深入研究习近平总书记关于职业教育的重要论述。开展习近平新时代中国特色社会主义思想的理论研究和宣讲。指导学生开展马克思主义理论学习，培养一批用马克思主义理论武装的青年马克思主义者。加强总结推广思政课程和课程思政先进经验、破解职业学校思政工作重点难点。组织开展思政教育专题研究，用理论研究成果助力铸魂育人。成果呈现形式（线上成果呈现方式，线下成果呈现方式）以学校微信平台为主要阵地，每周推送一篇思政专题内容，打造学校思政新高地。</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（四）注重团队建设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开展理论学习，深入贯彻中共中央国务院《关于进一步加强和改进大学生思想政治教育的意见》和山西省委省政府《关于进一步加强和改进大学生思想政治教育的实施意见》等文件要求，落实全国高校思政工作会和全省高校思政工作会议精神。坚持“立德树人，为民族复兴提供人才支撑”，坚持把立德树人作为中心环节，实现全程育人、全方位育人。定期组织思想政治理论课教师、辅导员、班主任和心理咨询教师开展理论学习，用习近平新时代中国特色社会主义思想武装头脑。</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提升教师基本功，积极鼓励教师参加国家及省市所举办的各类培训，提升思想政治理论课教师的专业教学力。落实《关于加强大学生思想政治工作的实施方案》，打造学院思想政治工作主力军，加强对思政教师的学习培训，提升理论水平，加强辅导员和班主任队伍建设，树立以人为本，一切为了学生的工作理念，依托国家教育行政学院网络，提高辅导员综合素质，要求广大教师做到有理想信念、有道德情操、有扎实知识、有仁爱之心，做好学生健康成长的指导者和引路人。为不断提升思政和“三支队伍”教师的素质和能力，我院鼓励教师尤其是中青年教师积极参加国家及省市所举办的线上线下培训，通过培训，各位教师均顺利获得结业证书，在理论和教学方面得到了长足的进步与提升。 3.思政教师参加教研活动、宣讲活动、心理座谈会、教学能力大赛、班主任能力比赛等。为探寻并实践适合职院学生的教学方法，我部积极开展集体备课等教研活动，对教学内容、手段及方法进行深入的集体探讨与研究。各位教师各抒己见，探索多种教学方法、途径，共同斟酌对职院学生更好的教学方式，在观念的碰撞与交流中，及时发现问题、剖析原因、梳理经验、归纳提升，达成新的共识，高效、快速地提升了教学的有效性，促进了教师的专业成长。引领教师积极参加教学技能大赛，参加“党史微课”的录制并。工作室成员深入到各系部，参与各系部组织的集体备课活动，全面提升学院的思政培养水平。开展“学习党的二十大 培根铸魂育新人”主题演讲比赛。</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工作室成员内部学习、交流、研讨、提升，集体备课制度要一以贯之，包括思政课教师之间的集体备课、思政课教师与专业课程教师之间的集体备课。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教师的成果打造，加强工作室和教师教学创新团队建设、打造教学能力大赛获奖作品、科研成果等。</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信息化教学能力提升，掌握信息化教学工具，推动“三教改革”、教学资源的建设与落地使用、精品课程或在线课程建设，实施混合教学、利用课堂教学与管控工具，推进课堂革命。</w:t>
      </w:r>
    </w:p>
    <w:p>
      <w:pPr>
        <w:pStyle w:val="4"/>
        <w:keepNext w:val="0"/>
        <w:keepLines w:val="0"/>
        <w:pageBreakBefore w:val="0"/>
        <w:widowControl w:val="0"/>
        <w:numPr>
          <w:ilvl w:val="0"/>
          <w:numId w:val="0"/>
        </w:numPr>
        <w:kinsoku/>
        <w:wordWrap/>
        <w:overflowPunct/>
        <w:topLinePunct w:val="0"/>
        <w:autoSpaceDE/>
        <w:autoSpaceDN/>
        <w:bidi w:val="0"/>
        <w:adjustRightInd/>
        <w:snapToGrid/>
        <w:ind w:leftChars="0" w:firstLine="643" w:firstLineChars="200"/>
        <w:textAlignment w:val="auto"/>
        <w:rPr>
          <w:rFonts w:hint="eastAsia" w:ascii="楷体" w:hAnsi="楷体" w:eastAsia="楷体" w:cs="楷体"/>
          <w:b/>
          <w:bCs/>
          <w:color w:val="auto"/>
          <w:kern w:val="2"/>
          <w:sz w:val="32"/>
          <w:szCs w:val="32"/>
          <w:lang w:val="en-US" w:eastAsia="zh-CN" w:bidi="ar-SA"/>
        </w:rPr>
      </w:pPr>
      <w:r>
        <w:rPr>
          <w:rFonts w:hint="eastAsia" w:ascii="楷体" w:hAnsi="楷体" w:eastAsia="楷体" w:cs="楷体"/>
          <w:b/>
          <w:bCs/>
          <w:color w:val="auto"/>
          <w:kern w:val="2"/>
          <w:sz w:val="32"/>
          <w:szCs w:val="32"/>
          <w:lang w:val="en-US" w:eastAsia="zh-CN" w:bidi="ar-SA"/>
        </w:rPr>
        <w:t>四、保障措施</w:t>
      </w:r>
    </w:p>
    <w:p>
      <w:pPr>
        <w:spacing w:line="360" w:lineRule="auto"/>
        <w:ind w:firstLine="643" w:firstLineChars="200"/>
        <w:outlineLvl w:val="1"/>
        <w:rPr>
          <w:rFonts w:hint="eastAsia" w:ascii="仿宋" w:hAnsi="仿宋" w:eastAsia="仿宋" w:cs="仿宋"/>
          <w:b/>
          <w:color w:val="auto"/>
          <w:sz w:val="32"/>
          <w:szCs w:val="32"/>
        </w:rPr>
      </w:pPr>
      <w:bookmarkStart w:id="1" w:name="_Toc17165"/>
      <w:bookmarkStart w:id="2" w:name="_Toc388"/>
      <w:r>
        <w:rPr>
          <w:rFonts w:hint="eastAsia" w:ascii="仿宋" w:hAnsi="仿宋" w:eastAsia="仿宋" w:cs="仿宋"/>
          <w:b/>
          <w:bCs/>
          <w:color w:val="auto"/>
          <w:sz w:val="32"/>
          <w:szCs w:val="32"/>
        </w:rPr>
        <w:t>（</w:t>
      </w:r>
      <w:r>
        <w:rPr>
          <w:rFonts w:hint="eastAsia" w:ascii="仿宋" w:hAnsi="仿宋" w:eastAsia="仿宋" w:cs="仿宋"/>
          <w:b/>
          <w:bCs/>
          <w:color w:val="auto"/>
          <w:sz w:val="32"/>
          <w:szCs w:val="32"/>
          <w:lang w:val="en-US" w:eastAsia="zh-CN"/>
        </w:rPr>
        <w:t>一</w:t>
      </w:r>
      <w:r>
        <w:rPr>
          <w:rFonts w:hint="eastAsia" w:ascii="仿宋" w:hAnsi="仿宋" w:eastAsia="仿宋" w:cs="仿宋"/>
          <w:b/>
          <w:bCs/>
          <w:color w:val="auto"/>
          <w:sz w:val="32"/>
          <w:szCs w:val="32"/>
        </w:rPr>
        <w:t>）制度保障</w:t>
      </w:r>
      <w:bookmarkEnd w:id="1"/>
      <w:bookmarkEnd w:id="2"/>
    </w:p>
    <w:p>
      <w:pPr>
        <w:adjustRightInd w:val="0"/>
        <w:snapToGrid w:val="0"/>
        <w:spacing w:line="360" w:lineRule="auto"/>
        <w:ind w:firstLine="640" w:firstLineChars="200"/>
        <w:jc w:val="left"/>
        <w:rPr>
          <w:rFonts w:hint="eastAsia" w:ascii="仿宋" w:hAnsi="仿宋" w:eastAsia="仿宋" w:cs="仿宋"/>
          <w:color w:val="auto"/>
          <w:sz w:val="32"/>
          <w:szCs w:val="32"/>
        </w:rPr>
      </w:pPr>
      <w:r>
        <w:rPr>
          <w:rFonts w:hint="eastAsia" w:ascii="仿宋" w:hAnsi="仿宋" w:eastAsia="仿宋" w:cs="仿宋"/>
          <w:color w:val="auto"/>
          <w:sz w:val="32"/>
          <w:szCs w:val="32"/>
        </w:rPr>
        <w:t>制定《</w:t>
      </w:r>
      <w:r>
        <w:rPr>
          <w:rFonts w:hint="eastAsia" w:ascii="仿宋" w:hAnsi="仿宋" w:eastAsia="仿宋" w:cs="仿宋"/>
          <w:color w:val="auto"/>
          <w:sz w:val="32"/>
          <w:szCs w:val="32"/>
          <w:lang w:val="en-US" w:eastAsia="zh-CN"/>
        </w:rPr>
        <w:t>吕梁职业技术学院</w:t>
      </w:r>
      <w:r>
        <w:rPr>
          <w:rFonts w:hint="eastAsia" w:ascii="仿宋" w:hAnsi="仿宋" w:eastAsia="仿宋" w:cs="仿宋"/>
          <w:color w:val="auto"/>
          <w:sz w:val="32"/>
          <w:szCs w:val="32"/>
        </w:rPr>
        <w:t>铸魂育人计划建设管理办法》等配套制度，明确“三个一工程”项目组成员所从事的课外思想政治教育、品牌建设、微课创作等活动计入个人工作量，为项目实施保驾护航。项目建设实行项目负责人负责制，实行目标管理、过程控制、定期例会研讨、定期信息发布、设备购置招标投标管理、绩效考评和奖惩制度，确保项目建设取得实效。</w:t>
      </w:r>
    </w:p>
    <w:p>
      <w:pPr>
        <w:spacing w:line="360" w:lineRule="auto"/>
        <w:ind w:firstLine="643" w:firstLineChars="200"/>
        <w:outlineLvl w:val="1"/>
        <w:rPr>
          <w:rFonts w:hint="eastAsia" w:ascii="仿宋" w:hAnsi="仿宋" w:eastAsia="仿宋" w:cs="仿宋"/>
          <w:b/>
          <w:color w:val="auto"/>
          <w:sz w:val="32"/>
          <w:szCs w:val="32"/>
        </w:rPr>
      </w:pPr>
      <w:bookmarkStart w:id="3" w:name="_Toc11894"/>
      <w:bookmarkStart w:id="4" w:name="_Toc29626"/>
      <w:r>
        <w:rPr>
          <w:rFonts w:hint="eastAsia" w:ascii="仿宋" w:hAnsi="仿宋" w:eastAsia="仿宋" w:cs="仿宋"/>
          <w:b/>
          <w:bCs/>
          <w:color w:val="auto"/>
          <w:sz w:val="32"/>
          <w:szCs w:val="32"/>
        </w:rPr>
        <w:t>（</w:t>
      </w:r>
      <w:r>
        <w:rPr>
          <w:rFonts w:hint="eastAsia" w:ascii="仿宋" w:hAnsi="仿宋" w:eastAsia="仿宋" w:cs="仿宋"/>
          <w:b/>
          <w:bCs/>
          <w:color w:val="auto"/>
          <w:sz w:val="32"/>
          <w:szCs w:val="32"/>
          <w:lang w:val="en-US" w:eastAsia="zh-CN"/>
        </w:rPr>
        <w:t>二</w:t>
      </w:r>
      <w:r>
        <w:rPr>
          <w:rFonts w:hint="eastAsia" w:ascii="仿宋" w:hAnsi="仿宋" w:eastAsia="仿宋" w:cs="仿宋"/>
          <w:b/>
          <w:bCs/>
          <w:color w:val="auto"/>
          <w:sz w:val="32"/>
          <w:szCs w:val="32"/>
        </w:rPr>
        <w:t>）经费保障</w:t>
      </w:r>
      <w:bookmarkEnd w:id="3"/>
      <w:bookmarkEnd w:id="4"/>
    </w:p>
    <w:p>
      <w:pPr>
        <w:adjustRightInd w:val="0"/>
        <w:snapToGrid w:val="0"/>
        <w:spacing w:line="360" w:lineRule="auto"/>
        <w:ind w:firstLine="640" w:firstLineChars="200"/>
        <w:jc w:val="left"/>
        <w:rPr>
          <w:rFonts w:hint="eastAsia" w:ascii="仿宋" w:hAnsi="仿宋" w:eastAsia="仿宋" w:cs="仿宋"/>
          <w:color w:val="auto"/>
          <w:sz w:val="32"/>
          <w:szCs w:val="32"/>
        </w:rPr>
      </w:pPr>
      <w:r>
        <w:rPr>
          <w:rFonts w:hint="eastAsia" w:ascii="仿宋" w:hAnsi="仿宋" w:eastAsia="仿宋" w:cs="仿宋"/>
          <w:color w:val="auto"/>
          <w:sz w:val="32"/>
          <w:szCs w:val="32"/>
        </w:rPr>
        <w:t>学校大力支持“三个一工程”的实施，在资金投入上给予优先保证。制定《</w:t>
      </w:r>
      <w:r>
        <w:rPr>
          <w:rFonts w:hint="eastAsia" w:ascii="仿宋" w:hAnsi="仿宋" w:eastAsia="仿宋" w:cs="仿宋"/>
          <w:color w:val="auto"/>
          <w:sz w:val="32"/>
          <w:szCs w:val="32"/>
          <w:lang w:val="en-US" w:eastAsia="zh-CN"/>
        </w:rPr>
        <w:t>吕梁职业技术学院</w:t>
      </w:r>
      <w:r>
        <w:rPr>
          <w:rFonts w:hint="eastAsia" w:ascii="仿宋" w:hAnsi="仿宋" w:eastAsia="仿宋" w:cs="仿宋"/>
          <w:color w:val="auto"/>
          <w:sz w:val="32"/>
          <w:szCs w:val="32"/>
        </w:rPr>
        <w:t>“三个一工程”实施资金管理办法》，做好年度财务预算，依法依规进行资金使用与管理，保证资金的使用安全，发挥资金使用最大效益。根据任务要求及具体工作，专款专用，科学合理安排资金的预算，确保重点项目，安排足额专项经费保障学校发展规划的顺利实现。</w:t>
      </w:r>
    </w:p>
    <w:p>
      <w:pPr>
        <w:spacing w:line="360" w:lineRule="auto"/>
        <w:ind w:firstLine="643" w:firstLineChars="200"/>
        <w:outlineLvl w:val="1"/>
        <w:rPr>
          <w:rFonts w:hint="eastAsia" w:ascii="仿宋" w:hAnsi="仿宋" w:eastAsia="仿宋" w:cs="仿宋"/>
          <w:b/>
          <w:bCs/>
          <w:color w:val="auto"/>
          <w:sz w:val="32"/>
          <w:szCs w:val="32"/>
        </w:rPr>
      </w:pPr>
      <w:bookmarkStart w:id="5" w:name="_Toc5303"/>
      <w:bookmarkStart w:id="6" w:name="_Toc11923"/>
      <w:r>
        <w:rPr>
          <w:rFonts w:hint="eastAsia" w:ascii="仿宋" w:hAnsi="仿宋" w:eastAsia="仿宋" w:cs="仿宋"/>
          <w:b/>
          <w:bCs/>
          <w:color w:val="auto"/>
          <w:sz w:val="32"/>
          <w:szCs w:val="32"/>
        </w:rPr>
        <w:t>（</w:t>
      </w:r>
      <w:r>
        <w:rPr>
          <w:rFonts w:hint="eastAsia" w:ascii="仿宋" w:hAnsi="仿宋" w:eastAsia="仿宋" w:cs="仿宋"/>
          <w:b/>
          <w:bCs/>
          <w:color w:val="auto"/>
          <w:sz w:val="32"/>
          <w:szCs w:val="32"/>
          <w:lang w:val="en-US" w:eastAsia="zh-CN"/>
        </w:rPr>
        <w:t>三</w:t>
      </w:r>
      <w:r>
        <w:rPr>
          <w:rFonts w:hint="eastAsia" w:ascii="仿宋" w:hAnsi="仿宋" w:eastAsia="仿宋" w:cs="仿宋"/>
          <w:b/>
          <w:bCs/>
          <w:color w:val="auto"/>
          <w:sz w:val="32"/>
          <w:szCs w:val="32"/>
        </w:rPr>
        <w:t>）激励机制、绩效考核</w:t>
      </w:r>
      <w:bookmarkEnd w:id="5"/>
      <w:bookmarkEnd w:id="6"/>
    </w:p>
    <w:p>
      <w:pPr>
        <w:adjustRightInd w:val="0"/>
        <w:snapToGrid w:val="0"/>
        <w:spacing w:line="360" w:lineRule="auto"/>
        <w:ind w:firstLine="640" w:firstLineChars="200"/>
        <w:jc w:val="left"/>
        <w:rPr>
          <w:rFonts w:hint="eastAsia" w:ascii="宋体" w:hAnsi="宋体" w:eastAsia="宋体" w:cs="宋体"/>
          <w:color w:val="auto"/>
          <w:sz w:val="28"/>
          <w:szCs w:val="28"/>
        </w:rPr>
      </w:pPr>
      <w:r>
        <w:rPr>
          <w:rFonts w:hint="eastAsia" w:ascii="仿宋" w:hAnsi="仿宋" w:eastAsia="仿宋" w:cs="仿宋"/>
          <w:color w:val="auto"/>
          <w:sz w:val="32"/>
          <w:szCs w:val="32"/>
        </w:rPr>
        <w:t>加强监督考核，将“铸魂育人”计划</w:t>
      </w:r>
      <w:r>
        <w:rPr>
          <w:rFonts w:hint="eastAsia" w:ascii="仿宋" w:hAnsi="仿宋" w:eastAsia="仿宋" w:cs="仿宋"/>
          <w:color w:val="auto"/>
          <w:sz w:val="32"/>
          <w:szCs w:val="32"/>
          <w:lang w:val="en-US" w:eastAsia="zh-CN"/>
        </w:rPr>
        <w:t>思政微课</w:t>
      </w:r>
      <w:r>
        <w:rPr>
          <w:rFonts w:hint="eastAsia" w:ascii="仿宋" w:hAnsi="仿宋" w:eastAsia="仿宋" w:cs="仿宋"/>
          <w:color w:val="auto"/>
          <w:sz w:val="32"/>
          <w:szCs w:val="32"/>
        </w:rPr>
        <w:t>建设相关工作列入学校年度目标任务综合考核，定期对“铸魂育人”计划建设进度和完成情况进行检查，并作为党建考核的重要内容。</w:t>
      </w:r>
    </w:p>
    <w:p>
      <w:pPr>
        <w:numPr>
          <w:ilvl w:val="0"/>
          <w:numId w:val="0"/>
        </w:numPr>
        <w:ind w:leftChars="0"/>
        <w:rPr>
          <w:rFonts w:hint="default"/>
          <w:lang w:val="en-US" w:eastAsia="zh-CN"/>
        </w:rPr>
      </w:pPr>
    </w:p>
    <w:p>
      <w:pPr>
        <w:pStyle w:val="4"/>
        <w:rPr>
          <w:rFonts w:hint="default"/>
          <w:lang w:val="en-US" w:eastAsia="zh-CN"/>
        </w:rPr>
      </w:pPr>
    </w:p>
    <w:p>
      <w:pPr>
        <w:rPr>
          <w:rFonts w:hint="default"/>
          <w:lang w:val="en-US" w:eastAsia="zh-CN"/>
        </w:rPr>
      </w:pPr>
    </w:p>
    <w:p>
      <w:pPr>
        <w:pStyle w:val="4"/>
        <w:rPr>
          <w:rFonts w:hint="default"/>
          <w:lang w:val="en-US" w:eastAsia="zh-CN"/>
        </w:rPr>
      </w:pPr>
    </w:p>
    <w:p>
      <w:pPr>
        <w:jc w:val="righ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吕梁职业技术学院</w:t>
      </w:r>
    </w:p>
    <w:p>
      <w:pPr>
        <w:pStyle w:val="4"/>
        <w:jc w:val="righ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2022年1月</w:t>
      </w:r>
    </w:p>
    <w:bookmarkEnd w:id="7"/>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br w:type="page"/>
      </w:r>
    </w:p>
    <w:p>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CESI黑体-GB2312">
    <w:altName w:val="黑体"/>
    <w:panose1 w:val="02000500000000000000"/>
    <w:charset w:val="86"/>
    <w:family w:val="auto"/>
    <w:pitch w:val="default"/>
    <w:sig w:usb0="00000000" w:usb1="00000000" w:usb2="00000012" w:usb3="00000000" w:csb0="0004000F" w:csb1="00000000"/>
  </w:font>
  <w:font w:name="方正小标宋简体">
    <w:panose1 w:val="02000000000000000000"/>
    <w:charset w:val="86"/>
    <w:family w:val="auto"/>
    <w:pitch w:val="default"/>
    <w:sig w:usb0="00000001" w:usb1="08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大标宋简体">
    <w:altName w:val="微软雅黑"/>
    <w:panose1 w:val="02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AA2AAB"/>
    <w:multiLevelType w:val="singleLevel"/>
    <w:tmpl w:val="DDAA2AA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yMDIzODY1ZDFhMTMyM2IxYWFjMGZiNDY5ZWExOTYifQ=="/>
  </w:docVars>
  <w:rsids>
    <w:rsidRoot w:val="3F5216D2"/>
    <w:rsid w:val="29A42EB2"/>
    <w:rsid w:val="3F5216D2"/>
    <w:rsid w:val="51772109"/>
    <w:rsid w:val="5A296BA4"/>
    <w:rsid w:val="5B1B2166"/>
    <w:rsid w:val="66D71E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spacing w:before="50" w:beforeLines="50" w:after="50" w:afterLines="50" w:line="360" w:lineRule="auto"/>
      <w:ind w:firstLine="420" w:firstLineChars="200"/>
      <w:outlineLvl w:val="0"/>
    </w:pPr>
    <w:rPr>
      <w:rFonts w:ascii="Calibri" w:hAnsi="Calibri" w:eastAsia="宋体"/>
      <w:b/>
      <w:bCs/>
      <w:kern w:val="44"/>
      <w:sz w:val="30"/>
      <w:szCs w:val="44"/>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2"/>
    <w:next w:val="1"/>
    <w:unhideWhenUsed/>
    <w:qFormat/>
    <w:uiPriority w:val="99"/>
    <w:pPr>
      <w:widowControl w:val="0"/>
      <w:spacing w:after="120"/>
      <w:ind w:left="420" w:leftChars="200" w:firstLine="420" w:firstLineChars="200"/>
      <w:jc w:val="both"/>
    </w:pPr>
    <w:rPr>
      <w:rFonts w:ascii="Times New Roman" w:hAnsi="Times New Roman" w:eastAsia="宋体" w:cs="Times New Roman"/>
      <w:kern w:val="2"/>
      <w:sz w:val="21"/>
      <w:szCs w:val="21"/>
      <w:lang w:val="en-US" w:eastAsia="zh-CN" w:bidi="ar-SA"/>
    </w:rPr>
  </w:style>
  <w:style w:type="paragraph" w:styleId="4">
    <w:name w:val="toa heading"/>
    <w:basedOn w:val="1"/>
    <w:next w:val="1"/>
    <w:unhideWhenUsed/>
    <w:qFormat/>
    <w:uiPriority w:val="99"/>
    <w:pPr>
      <w:spacing w:before="120"/>
    </w:pPr>
    <w:rPr>
      <w:rFonts w:ascii="Calibri Light" w:hAnsi="Calibri Light" w:cs="Times New Roman"/>
      <w:sz w:val="24"/>
    </w:rPr>
  </w:style>
  <w:style w:type="paragraph" w:styleId="5">
    <w:name w:val="Body Text 3"/>
    <w:basedOn w:val="1"/>
    <w:qFormat/>
    <w:uiPriority w:val="0"/>
    <w:pPr>
      <w:suppressAutoHyphens/>
      <w:bidi w:val="0"/>
      <w:spacing w:after="120" w:afterLines="0"/>
    </w:pPr>
    <w:rPr>
      <w:rFonts w:ascii="Calibri" w:hAnsi="Calibri"/>
      <w:color w:val="auto"/>
      <w:sz w:val="16"/>
      <w:szCs w:val="16"/>
    </w:rPr>
  </w:style>
  <w:style w:type="paragraph" w:styleId="6">
    <w:name w:val="Body Text"/>
    <w:basedOn w:val="1"/>
    <w:qFormat/>
    <w:uiPriority w:val="99"/>
    <w:pPr>
      <w:spacing w:after="120"/>
    </w:pPr>
  </w:style>
  <w:style w:type="paragraph" w:styleId="7">
    <w:name w:val="footer"/>
    <w:basedOn w:val="1"/>
    <w:qFormat/>
    <w:uiPriority w:val="0"/>
    <w:pPr>
      <w:tabs>
        <w:tab w:val="center" w:pos="4153"/>
        <w:tab w:val="right" w:pos="8306"/>
      </w:tabs>
      <w:snapToGrid w:val="0"/>
      <w:jc w:val="left"/>
    </w:pPr>
    <w:rPr>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9">
    <w:name w:val="Body Text First Indent"/>
    <w:basedOn w:val="6"/>
    <w:qFormat/>
    <w:uiPriority w:val="99"/>
    <w:pPr>
      <w:spacing w:line="400" w:lineRule="atLeast"/>
      <w:ind w:firstLine="426"/>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本文正文"/>
    <w:basedOn w:val="1"/>
    <w:qFormat/>
    <w:uiPriority w:val="0"/>
    <w:pPr>
      <w:widowControl/>
      <w:spacing w:line="480" w:lineRule="exact"/>
      <w:ind w:firstLine="200" w:firstLineChars="200"/>
      <w:jc w:val="left"/>
    </w:pPr>
    <w:rPr>
      <w:rFonts w:ascii="宋体" w:hAnsi="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2645</Words>
  <Characters>2675</Characters>
  <Lines>0</Lines>
  <Paragraphs>0</Paragraphs>
  <TotalTime>2</TotalTime>
  <ScaleCrop>false</ScaleCrop>
  <LinksUpToDate>false</LinksUpToDate>
  <CharactersWithSpaces>2676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2023-06-29T08:24:00Z</dcterms:created>
  <dc:creator>条子</dc:creator>
  <cp:lastModifiedBy>条子</cp:lastModifiedBy>
  <dcterms:modified xsi:type="dcterms:W3CDTF">2023-06-30T06:06:27Z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B59B57891AF840C2B10DF7606FBCFFD0_13</vt:lpwstr>
  </property>
</Properties>
</file>